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69CC" w14:textId="0C2AC520" w:rsidR="00A52462" w:rsidRPr="00A52462" w:rsidRDefault="00A52462" w:rsidP="00A52462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seven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UNC-Chapel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Hill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sole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part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Medicine.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Nutrition’s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mission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improve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protect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public’s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through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teaching,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practices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foster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best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possible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people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world.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takes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cell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society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approach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divisions: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Biochemistry,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Epidemiology,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Intervention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Policy.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During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2015,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managed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$28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dollars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sponsored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funding.</w:t>
      </w:r>
    </w:p>
    <w:p w14:paraId="5BAEB3CA" w14:textId="61FB3033" w:rsidR="00A52462" w:rsidRPr="00A52462" w:rsidRDefault="00A52462" w:rsidP="00A52462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consists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48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primary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faculty,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12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joint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13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adjunct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faculty,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administrative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staff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9,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postdoctoral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fellows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staff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members.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2015,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had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enrolled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174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students,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52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doctoral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students,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73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masters’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students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49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bachelors’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students.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26,000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meeting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space,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11,000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space.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second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floor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McGavran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-Greenberg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Hall,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Rosenau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Michael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Hooker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buildings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connected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sky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walk.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addition,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leases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Eastowne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Building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nearby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Chapel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Hill.</w:t>
      </w:r>
    </w:p>
    <w:p w14:paraId="58342FD0" w14:textId="77777777" w:rsidR="00A52462" w:rsidRPr="00A52462" w:rsidRDefault="00A52462" w:rsidP="00A52462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Laboratory</w:t>
      </w:r>
    </w:p>
    <w:p w14:paraId="651B19D3" w14:textId="30A5609B" w:rsidR="00A52462" w:rsidRPr="00A52462" w:rsidRDefault="00A52462" w:rsidP="00A52462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11,000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space,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10,070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Michael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Hooker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(MHRC),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4,165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McGavran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Greenberg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Hall.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Biochemistry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trainees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needed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complete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MHRC,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open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since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2005,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contains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state-of-the-art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facilities,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tissue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culture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facilities,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common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equipment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BSL-3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histology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molecular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biology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biochemistry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(including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HPLC),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microscopy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darkroom,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walk-in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cold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freezer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dishwashing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autoclave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facilities.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McGavran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Greenberg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MHRC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connected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sky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bridge,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allows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sharing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equipment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shared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between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Department.</w:t>
      </w:r>
    </w:p>
    <w:p w14:paraId="5BBA96A2" w14:textId="3C704A30" w:rsidR="00A52462" w:rsidRPr="00A52462" w:rsidRDefault="00A52462" w:rsidP="00A52462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Institute</w:t>
      </w:r>
    </w:p>
    <w:p w14:paraId="20319CAB" w14:textId="618AFD4A" w:rsidR="00A52462" w:rsidRPr="00A52462" w:rsidRDefault="00A52462" w:rsidP="00A52462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Institute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dedicated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understanding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why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differences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metabolism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requirements.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institute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comprises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web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sophisticated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analytic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equipment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nutrigenomics;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examination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equipment,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pharmacy,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phlebotomy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specimen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kitchen;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equipment.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State-of-the-art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human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following.</w:t>
      </w:r>
    </w:p>
    <w:p w14:paraId="2A542177" w14:textId="4CFAD16D" w:rsidR="00A52462" w:rsidRPr="00A52462" w:rsidRDefault="00A52462" w:rsidP="00A52462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Kitchen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(1,200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ft.):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utilized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prepare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deliver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exact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Staff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able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monitor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consumption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meals,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calculate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exact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amounts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nutrients,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micronutrients,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bioactives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delivered.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Four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independent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work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stations,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own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tools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exception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large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appliances,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shared),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Computer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kitchen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Optiplex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780)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computers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Optiplex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780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Ultra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Small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Form)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sync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Ohaus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scales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(two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each);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HP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Laserjet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M3027;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Mettler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Toledo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scales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(two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daily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scales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analytical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balance);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Software: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ProNutra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ProNessy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Processor;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Bally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walk-in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refrigerator/freezer;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commercial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kitchen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appliances.</w:t>
      </w:r>
    </w:p>
    <w:p w14:paraId="7894A7CC" w14:textId="7DCA97D1" w:rsidR="00A52462" w:rsidRPr="00A52462" w:rsidRDefault="00A52462" w:rsidP="00A52462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(320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ft.):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Lunar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iDXA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scanner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Healthcare):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DXA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scanner’s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software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enables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evaluation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mass,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lean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mass,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density,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total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entire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skeleton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sub-regions;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(Life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Measurement,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Inc.)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air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displacement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plethysmography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determine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fat;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Xario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Ultrasound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(Toshiba)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require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determination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internal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organs.</w:t>
      </w:r>
    </w:p>
    <w:p w14:paraId="79F62794" w14:textId="1F95ABB2" w:rsidR="00A52462" w:rsidRPr="00A52462" w:rsidRDefault="00A52462" w:rsidP="00A52462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(250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ft.):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ParvoMedics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TrueOne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2400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carts,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energy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expenditure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another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exercise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induced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changes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energy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expenditure;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electrocardiogram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machine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(Quinton),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TrackMaster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Treadmill;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stationary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bike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(Lode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Corival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Bike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Ergometer).</w:t>
      </w:r>
    </w:p>
    <w:p w14:paraId="73595D50" w14:textId="2CDB48EC" w:rsidR="00A52462" w:rsidRPr="00A52462" w:rsidRDefault="00A52462" w:rsidP="00A52462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Chamber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(415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ft.):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Advanced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Biosolutions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Whole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Calorimeter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person’s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energy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expenditure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accuracy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35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calories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day.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device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represents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slight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improvement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chambers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installed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NIH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Center.</w:t>
      </w:r>
    </w:p>
    <w:p w14:paraId="465DAC57" w14:textId="74A34237" w:rsidR="00A52462" w:rsidRPr="00A52462" w:rsidRDefault="00A52462" w:rsidP="00A52462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Phlebotomy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Examination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(1,000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ft.):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Dedicated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blood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urine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collection,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sample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processing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Thermo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Sorvall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RT1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Centrifuge;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Biolis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24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lastRenderedPageBreak/>
        <w:t>Chemistry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Analyzer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capability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perform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chemistry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tests.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addition,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institute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process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purchasing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hematology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analyzer.</w:t>
      </w:r>
    </w:p>
    <w:p w14:paraId="12A95D33" w14:textId="420E7AA3" w:rsidR="00A52462" w:rsidRPr="00A52462" w:rsidRDefault="00A52462" w:rsidP="00A52462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Physical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Examination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(320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ft.):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four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examination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equipped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Midmark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examination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tables,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sinks,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privacy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curtains,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WelchAllyn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Integrated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blood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pressure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cuff,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digital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thermometer,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otoscope,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ophthalmoscope.</w:t>
      </w:r>
    </w:p>
    <w:p w14:paraId="06692DF8" w14:textId="060A6C58" w:rsidR="00A52462" w:rsidRPr="00A52462" w:rsidRDefault="00A52462" w:rsidP="00A52462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Pharmacy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Suite: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231-square-foot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pharmacy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suite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locked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storage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pharmaceuticals,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placebos,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treatments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needed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studies.</w:t>
      </w:r>
    </w:p>
    <w:p w14:paraId="0C153EAA" w14:textId="4688F6F5" w:rsidR="00A52462" w:rsidRPr="00A52462" w:rsidRDefault="00A52462" w:rsidP="00A52462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Behavioral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Suite: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networked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dual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camera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digital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video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disc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part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testing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observation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EEG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128-channel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EGI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electrophysiology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EGI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photogrammetry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SmartEye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Eye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Tracking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BioPac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autonomic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nervous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functions,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Electric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Maze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higher-order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cognitive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function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many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elicited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imitation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props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memory.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behavioral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suite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mother’s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grade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Medela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Breast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Pump.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spacious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play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outfitted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toys,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supplies,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age-appropriate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furniture,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many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high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chairs,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effectively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conducting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behavioral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tests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small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children.</w:t>
      </w:r>
    </w:p>
    <w:p w14:paraId="2611C2BF" w14:textId="40471347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Diet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Physical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Activity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Core</w:t>
      </w:r>
    </w:p>
    <w:p w14:paraId="1268DBB4" w14:textId="402BE0C8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Physical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Activity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multidisciplinary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aid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investigators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purpose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improving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enhancing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dietary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physical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activity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anthropometric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measures;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mobile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construction;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protocol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design;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implementation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Cores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described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below:</w:t>
      </w:r>
    </w:p>
    <w:p w14:paraId="5BC13259" w14:textId="54DBA2BD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recalls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(NDSR)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24-hour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recalls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Cancer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Institute’s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Automated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Self-Administered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24-hour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recalls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(ASA24);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record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NDSR);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recipe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NDSR);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menu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NDSR);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frequency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questionnaires;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custom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development;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administration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frequency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questionnaires.</w:t>
      </w:r>
    </w:p>
    <w:p w14:paraId="1DB575BF" w14:textId="73054BA3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24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hour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recalls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NDSR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ASA24)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records,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menu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recipe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analysis.</w:t>
      </w:r>
    </w:p>
    <w:p w14:paraId="5572EC10" w14:textId="5BB8E660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project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development;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database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development;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choice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biomarkers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write-up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dietary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assessment.</w:t>
      </w:r>
    </w:p>
    <w:p w14:paraId="34D70D30" w14:textId="1CBF4AA3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Physical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Activity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objective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self-report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physical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activity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monitoring.</w:t>
      </w:r>
    </w:p>
    <w:p w14:paraId="3921A914" w14:textId="068CB53E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Physical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Activity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project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development;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write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up;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post-award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assistance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reduction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method.</w:t>
      </w:r>
    </w:p>
    <w:p w14:paraId="5B603869" w14:textId="60FEDC3F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DXA;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indirect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calorimetry;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PQcT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Bodpod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Peapod;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anthropometric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services-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stadiometer,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skin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fold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tests,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tape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scales;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Bioelectric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Impedance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Scale.</w:t>
      </w:r>
    </w:p>
    <w:p w14:paraId="1560ED50" w14:textId="594ED501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Concierge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identifying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advantages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disadvantages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help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select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best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tools;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identifying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where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find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tools;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coordination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DXA,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BodPod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Cambria Math" w:hAnsi="Cambria Math" w:cs="Cambria Math"/>
          <w:kern w:val="0"/>
          <w:sz w:val="22"/>
          <w:szCs w:val="22"/>
          <w14:ligatures w14:val="none"/>
        </w:rPr>
        <w:t>∓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PeaPod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anthropometric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height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weight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adults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children);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skinfold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assessments;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%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regression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equations;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circumferences.</w:t>
      </w:r>
    </w:p>
    <w:p w14:paraId="427CCF62" w14:textId="0B69868E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Construction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regular,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therapeutic,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inpatient,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meals.</w:t>
      </w:r>
    </w:p>
    <w:p w14:paraId="492CBAB8" w14:textId="6D43F95E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Protocol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Design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pre-study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design;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methods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development;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menus;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testing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recipes;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staff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production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procedures.</w:t>
      </w:r>
    </w:p>
    <w:p w14:paraId="5403EFB2" w14:textId="04503A66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Implementation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counseling,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questionnaire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administration,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screening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participation,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team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meetings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staff.</w:t>
      </w:r>
    </w:p>
    <w:p w14:paraId="360F6B1D" w14:textId="23AB2669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Biochemistry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Cambria Math" w:hAnsi="Cambria Math" w:cs="Cambria Math"/>
          <w:kern w:val="0"/>
          <w:sz w:val="22"/>
          <w:szCs w:val="22"/>
          <w14:ligatures w14:val="none"/>
        </w:rPr>
        <w:t>∓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Molecular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Biology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atomic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absorption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spectrometry,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choline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metabolites,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molecular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biology,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biochemistry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metabolomics.</w:t>
      </w:r>
    </w:p>
    <w:p w14:paraId="088CFD26" w14:textId="3EFF65E3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Oxidative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Stress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including: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catalase;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glutathione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peroxidase;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glutathione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reductase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(GSH/GSSG);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superoxide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dismutase;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lipid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peroxidation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products;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thiobarbituric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acid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substances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(TBARS);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oxidized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reduced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glutathione;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thioredoxin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reductase.</w:t>
      </w:r>
    </w:p>
    <w:p w14:paraId="23D84478" w14:textId="73E4C49F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Inflammation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(ELISA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RIA)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testing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includes: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C-reactive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proteins;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E-selection;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VCAM-1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ICAM-1.</w:t>
      </w:r>
    </w:p>
    <w:p w14:paraId="3AC762C5" w14:textId="1F28C687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Cytokines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Adipokines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include: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IL-6;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IL-6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IL-2;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TNF-α;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TNF-α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adiponectin.</w:t>
      </w:r>
    </w:p>
    <w:p w14:paraId="0E24FBBB" w14:textId="0B762287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lastRenderedPageBreak/>
        <w:t>Peptide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Hormones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analyzed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include: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ghrelin;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Insulin;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C-peptide;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leptin;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prolactin.</w:t>
      </w:r>
    </w:p>
    <w:p w14:paraId="3BD9F872" w14:textId="276C40DF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includes: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vitamin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vitamin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ferritin.</w:t>
      </w:r>
    </w:p>
    <w:p w14:paraId="341CFA24" w14:textId="7A73AF2F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Drug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Abuse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Tests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testing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amphetamines;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barbiturates;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benzodiazepines;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cannabinoids;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cocaine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metabolites.</w:t>
      </w:r>
    </w:p>
    <w:p w14:paraId="56B510EB" w14:textId="3EE9252F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Assays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DHEA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urinalysis.</w:t>
      </w:r>
    </w:p>
    <w:p w14:paraId="7B56D90A" w14:textId="1D8545C0" w:rsidR="00A52462" w:rsidRPr="00A52462" w:rsidRDefault="00A52462" w:rsidP="00A52462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Choline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Choline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assays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include: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choline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metabolites;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betaine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fatty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acid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phospholipid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fatty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acids;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folate;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PEMT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(high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low);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extract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plate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DNA;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genotype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(RT-PCR);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homocysteine.</w:t>
      </w:r>
    </w:p>
    <w:p w14:paraId="4DD15463" w14:textId="7D79C2C4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NORC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Concierge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Services</w:t>
      </w:r>
    </w:p>
    <w:p w14:paraId="729F2843" w14:textId="632642AD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NORC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Concierge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support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development,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design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implementation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obesity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translational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includes: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identifying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gaps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plans;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connecting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investigators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potential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mentors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collaborators;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assistance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grant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proposals,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manuscripts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protocol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reviews;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facilitating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implementation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pilot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project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grants;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linking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investigators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appropriate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campus.</w:t>
      </w:r>
    </w:p>
    <w:p w14:paraId="5ED88B6C" w14:textId="035CFC0C" w:rsidR="00A52462" w:rsidRPr="00A52462" w:rsidRDefault="00A52462" w:rsidP="00A52462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NORC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Animal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Metabolism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Phenotyping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access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art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phenotyping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techniques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metabolism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energy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balance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models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disease.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include: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design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implementation;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composition.</w:t>
      </w:r>
    </w:p>
    <w:p w14:paraId="52A3EF66" w14:textId="311CDAA8" w:rsidR="00A52462" w:rsidRPr="00A52462" w:rsidRDefault="00A52462" w:rsidP="00A52462">
      <w:pPr>
        <w:pStyle w:val="ListParagraph"/>
        <w:numPr>
          <w:ilvl w:val="0"/>
          <w:numId w:val="5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NORC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Design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Interpretation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expertise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design,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quality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control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methods.</w:t>
      </w:r>
    </w:p>
    <w:p w14:paraId="7623ED0D" w14:textId="437D2D4A" w:rsidR="00A52462" w:rsidRPr="00A52462" w:rsidRDefault="00A52462" w:rsidP="00A52462">
      <w:pPr>
        <w:pStyle w:val="ListParagraph"/>
        <w:numPr>
          <w:ilvl w:val="0"/>
          <w:numId w:val="5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NORC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MRI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technology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evaluate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whole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composition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without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anesthesia,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fat,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lean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tissue,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free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total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water.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MRI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tissue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probe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organs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samples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up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grams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biopsy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probe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samples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up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300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milligrams.</w:t>
      </w:r>
    </w:p>
    <w:p w14:paraId="5B49F31F" w14:textId="34C9B297" w:rsidR="00A52462" w:rsidRPr="00A52462" w:rsidRDefault="00A52462" w:rsidP="00A52462">
      <w:pPr>
        <w:pStyle w:val="ListParagraph"/>
        <w:numPr>
          <w:ilvl w:val="0"/>
          <w:numId w:val="5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NORC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Voluntary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Exercise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home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running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wheel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compartments.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devise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able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collect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months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running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distance,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time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running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requested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intervals.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converted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day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/night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total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distance,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wheel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time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maximum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speed.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Total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drink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taken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during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experiments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available.</w:t>
      </w:r>
    </w:p>
    <w:p w14:paraId="3F00DF94" w14:textId="1BBAEF15" w:rsidR="00A52462" w:rsidRPr="00A52462" w:rsidRDefault="00A52462" w:rsidP="00A52462">
      <w:pPr>
        <w:pStyle w:val="ListParagraph"/>
        <w:numPr>
          <w:ilvl w:val="0"/>
          <w:numId w:val="5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NORC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Energy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Expenditure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evaluate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interpret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energy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expenditure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new,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indirect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calorimetry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O2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consumption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CO2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production,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respiratory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exchange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energy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expenditure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home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cage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environment.</w:t>
      </w:r>
    </w:p>
    <w:p w14:paraId="1F8DF926" w14:textId="719A22A8" w:rsidR="00A52462" w:rsidRPr="00A52462" w:rsidRDefault="00A52462" w:rsidP="00A52462">
      <w:pPr>
        <w:pStyle w:val="ListParagraph"/>
        <w:numPr>
          <w:ilvl w:val="0"/>
          <w:numId w:val="5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NORC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Home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Activity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evaluate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interpret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3D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(X,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Z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dimension)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home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activity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light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beams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up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10-days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intervals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between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60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minutes.</w:t>
      </w:r>
    </w:p>
    <w:p w14:paraId="249BEC1E" w14:textId="42B5A8C4" w:rsidR="00A52462" w:rsidRPr="00A52462" w:rsidRDefault="00A52462" w:rsidP="00A52462">
      <w:pPr>
        <w:pStyle w:val="ListParagraph"/>
        <w:numPr>
          <w:ilvl w:val="0"/>
          <w:numId w:val="5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NORC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&amp;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Drink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Consumption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Behavior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measurement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rodents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sensors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(drinking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/feeding)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cage.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addition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simply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evaluating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food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drink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consumption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time,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able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monitor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multiple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diets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drink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combinations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eating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behavior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patterns.</w:t>
      </w:r>
    </w:p>
    <w:p w14:paraId="0CBDEF0D" w14:textId="46A64505" w:rsidR="00A52462" w:rsidRPr="00A52462" w:rsidRDefault="00A52462" w:rsidP="00A52462">
      <w:pPr>
        <w:pStyle w:val="ListParagraph"/>
        <w:numPr>
          <w:ilvl w:val="0"/>
          <w:numId w:val="5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NORC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mineral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density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DEXA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scanner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measure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total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mineral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density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(BMD),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mineral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content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(BMC)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bone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(BA)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analyzed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anesthetized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mice.</w:t>
      </w:r>
    </w:p>
    <w:p w14:paraId="6D888961" w14:textId="77A2007C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Metabolism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Metabolomics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Core</w:t>
      </w:r>
    </w:p>
    <w:p w14:paraId="2A0B4F44" w14:textId="39DE6D40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Metabolism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Metabolomics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cutting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edge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metabolomics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biochemistry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methods,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molecular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biology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techniques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goals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encourage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biomarkers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epidemiological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intervention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access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state-of-the-art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techniques,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equipment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cost-effective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assays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investigators.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students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postdoctoral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fellows.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number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platforms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endogenous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exogenous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compounds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represent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metabolome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exposome:</w:t>
      </w:r>
    </w:p>
    <w:p w14:paraId="0EECB574" w14:textId="728DC575" w:rsidR="00A52462" w:rsidRPr="00A52462" w:rsidRDefault="00A52462" w:rsidP="00A52462">
      <w:pPr>
        <w:numPr>
          <w:ilvl w:val="0"/>
          <w:numId w:val="4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Expert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opinion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related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design,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sample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selection/collection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storage,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proposal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review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development,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manuscript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development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review</w:t>
      </w:r>
      <w:proofErr w:type="gramEnd"/>
    </w:p>
    <w:p w14:paraId="29F9DD23" w14:textId="02C78DCC" w:rsidR="00A52462" w:rsidRPr="00A52462" w:rsidRDefault="00A52462" w:rsidP="00A52462">
      <w:pPr>
        <w:numPr>
          <w:ilvl w:val="0"/>
          <w:numId w:val="4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Untargeted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analytical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methods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Ultra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High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Performance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Liquid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Chromatography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(UPLC)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coupled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Spectrometry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(MS).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UPLC-MS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performed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variety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orbitrap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Orbi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time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flight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(TOF)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spectrometry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detection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signals.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Innovative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methods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peak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picking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comparison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in-house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library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established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under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conditions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identical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methods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samples.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Signals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not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match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in-house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libraries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annotated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through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literature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publicly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external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libraries.</w:t>
      </w:r>
    </w:p>
    <w:p w14:paraId="71A551D1" w14:textId="3A0FD16F" w:rsidR="00A52462" w:rsidRPr="00A52462" w:rsidRDefault="00A52462" w:rsidP="00A52462">
      <w:pPr>
        <w:numPr>
          <w:ilvl w:val="0"/>
          <w:numId w:val="4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lastRenderedPageBreak/>
        <w:t>Nuclear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magnetic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resonance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(NMR)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spectroscopy.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Signals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assigned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metabolites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through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library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matching,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structural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information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NMR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chemical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shift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coupling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patterns.</w:t>
      </w:r>
    </w:p>
    <w:p w14:paraId="6E40B16A" w14:textId="76326DD7" w:rsidR="00A52462" w:rsidRPr="00A52462" w:rsidRDefault="00A52462" w:rsidP="00A52462">
      <w:pPr>
        <w:numPr>
          <w:ilvl w:val="0"/>
          <w:numId w:val="4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Targeted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Broad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Spectrum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NMR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Spectrometry.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Quantitative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targeted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188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endogenous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metabolites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conducted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Biocrates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Absolute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IDQ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p180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Kit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LC-MS/MS.</w:t>
      </w:r>
    </w:p>
    <w:p w14:paraId="42E31E54" w14:textId="26A6F21D" w:rsidR="00A52462" w:rsidRPr="00A52462" w:rsidRDefault="00A52462" w:rsidP="00A52462">
      <w:pPr>
        <w:numPr>
          <w:ilvl w:val="0"/>
          <w:numId w:val="4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Cytokine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Arrays.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High-throughput,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relative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quantitation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performed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RayBiotech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array.</w:t>
      </w:r>
    </w:p>
    <w:p w14:paraId="1E0F48DF" w14:textId="3F38B552" w:rsidR="00A52462" w:rsidRPr="00A52462" w:rsidRDefault="00A52462" w:rsidP="00A52462">
      <w:pPr>
        <w:numPr>
          <w:ilvl w:val="0"/>
          <w:numId w:val="4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Atomic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Absorption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determine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levels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arsenate,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methylated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organic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arsenic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solutions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and/or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matrices.</w:t>
      </w:r>
    </w:p>
    <w:p w14:paraId="4B6B4A02" w14:textId="602B4157" w:rsidR="00A52462" w:rsidRPr="00A52462" w:rsidRDefault="00A52462" w:rsidP="00A52462">
      <w:pPr>
        <w:numPr>
          <w:ilvl w:val="0"/>
          <w:numId w:val="4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Statistics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Multivariate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identify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patterns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trends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show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association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signals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phenotypic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responses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under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investigation.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methods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supervised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unsupervised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multivariate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analyses,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descriptive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statistics,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hypothesis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testing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modeling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(e.g.,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linear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logistic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regression,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structural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modeling,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random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forest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models).</w:t>
      </w:r>
    </w:p>
    <w:p w14:paraId="6E031500" w14:textId="2415921E" w:rsidR="00A52462" w:rsidRPr="00A52462" w:rsidRDefault="00A52462" w:rsidP="00A52462">
      <w:pPr>
        <w:numPr>
          <w:ilvl w:val="0"/>
          <w:numId w:val="4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Pathway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</w:t>
      </w:r>
      <w:r w:rsidRPr="00A52462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map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identified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signals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biochemical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pathways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specialized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software,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expert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biochemist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interpretation.</w:t>
      </w:r>
    </w:p>
    <w:p w14:paraId="07499EE2" w14:textId="77777777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Computer</w:t>
      </w:r>
    </w:p>
    <w:p w14:paraId="2E60FD93" w14:textId="4AB0355E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state-of-the-art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computer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students,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faculty,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staff.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faculty,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staff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member,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trainee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computer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daily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access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range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software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applications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network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word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processing,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base,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spreadsheets,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statistical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analysis,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graphics,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electronic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mail.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computer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allow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faculty,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staff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students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link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-wide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computer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world-wide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web.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Wireless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connectivity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conference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most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laboratories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offices.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Conference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projectors,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internet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access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videoconferencing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equipment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staff.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Collaboration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through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videoconferencing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facilitated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within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through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proofErr w:type="gram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our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Virtual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Teleconferencing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BlueJeans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Conferencing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service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access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faculty,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staff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students.</w:t>
      </w:r>
    </w:p>
    <w:p w14:paraId="59ECB017" w14:textId="77777777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Office</w:t>
      </w:r>
    </w:p>
    <w:p w14:paraId="682C4B54" w14:textId="34EDE43E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Nutrition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almost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3,000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4,500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projects.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Office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provided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trainees.</w:t>
      </w:r>
    </w:p>
    <w:p w14:paraId="0652C1B7" w14:textId="77777777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Equipment</w:t>
      </w:r>
    </w:p>
    <w:p w14:paraId="2FDE480C" w14:textId="6CD13B08" w:rsidR="00A52462" w:rsidRPr="00A52462" w:rsidRDefault="00A52462" w:rsidP="00A52462">
      <w:pPr>
        <w:spacing w:before="140"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Examples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equipment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following: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Lunar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Piximus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II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X-Ray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Densitometer,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Sorvall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WX-80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Centrifuge,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Perkin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Elmer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FIAS-400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Flow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Injection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Roche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Lightcycler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480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PCR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Perkin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Elmer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Analyst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800AA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Spectrometer,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Agilent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Tech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1100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HPLC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CEM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Mars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5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Microwave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Reaction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Bio-Rad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Versa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Doc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MP4000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Imaging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Roche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Cobas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Mira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Plus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Chemistry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Analyzer,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Bio-Rad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Protean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IEF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Nanodrop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2000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Spectrophotometer,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Rad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CFX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Connect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PCR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Strathkelvin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MT200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Respirometry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Amersham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Bioscience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UltroSpec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3300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Spectrophotometer,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Bio-Rad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Icycler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Thermal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Cycler,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Bio-Rad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CFX96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PCR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Amaxa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II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Nucleofactor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Bio-Rad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Icycler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IQ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PCR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Detection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System,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Beckman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Z2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Couter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Counter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Analyzer,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Accuri</w:t>
      </w:r>
      <w:proofErr w:type="spellEnd"/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C6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Cytometer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Echo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MRI-100TM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A52462">
        <w:rPr>
          <w:rFonts w:ascii="Arial" w:hAnsi="Arial" w:cs="Arial"/>
          <w:kern w:val="0"/>
          <w:sz w:val="22"/>
          <w:szCs w:val="22"/>
          <w14:ligatures w14:val="none"/>
        </w:rPr>
        <w:t>Analyzer.</w:t>
      </w:r>
    </w:p>
    <w:p w14:paraId="76CC14FD" w14:textId="09E522C2" w:rsidR="00000000" w:rsidRPr="00A52462" w:rsidRDefault="00A52462" w:rsidP="00A52462">
      <w:pPr>
        <w:rPr>
          <w:rFonts w:ascii="Arial" w:hAnsi="Arial" w:cs="Arial"/>
          <w:kern w:val="0"/>
          <w:sz w:val="22"/>
          <w:szCs w:val="22"/>
          <w14:ligatures w14:val="none"/>
        </w:rPr>
      </w:pPr>
      <w:r w:rsidRPr="00A52462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 w:rsidRPr="00A52462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: </w:t>
      </w:r>
      <w:r w:rsidRPr="00A52462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1/29/21</w:t>
      </w:r>
    </w:p>
    <w:sectPr w:rsidR="00772CB6" w:rsidRPr="00A52462" w:rsidSect="00A52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65D"/>
    <w:multiLevelType w:val="hybridMultilevel"/>
    <w:tmpl w:val="F32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8F2"/>
    <w:multiLevelType w:val="multilevel"/>
    <w:tmpl w:val="64F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93735"/>
    <w:multiLevelType w:val="multilevel"/>
    <w:tmpl w:val="31CA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C237C"/>
    <w:multiLevelType w:val="multilevel"/>
    <w:tmpl w:val="F67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D1D16"/>
    <w:multiLevelType w:val="multilevel"/>
    <w:tmpl w:val="FF9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84369">
    <w:abstractNumId w:val="1"/>
  </w:num>
  <w:num w:numId="2" w16cid:durableId="90787784">
    <w:abstractNumId w:val="2"/>
  </w:num>
  <w:num w:numId="3" w16cid:durableId="1322963">
    <w:abstractNumId w:val="4"/>
  </w:num>
  <w:num w:numId="4" w16cid:durableId="1788885784">
    <w:abstractNumId w:val="3"/>
  </w:num>
  <w:num w:numId="5" w16cid:durableId="162912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62"/>
    <w:rsid w:val="00060816"/>
    <w:rsid w:val="00122FCB"/>
    <w:rsid w:val="00385C52"/>
    <w:rsid w:val="006A0617"/>
    <w:rsid w:val="00A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32BF0"/>
  <w15:chartTrackingRefBased/>
  <w15:docId w15:val="{017D2315-A985-F84A-8113-39EBA79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2553</Words>
  <Characters>14556</Characters>
  <Application>Microsoft Office Word</Application>
  <DocSecurity>0</DocSecurity>
  <Lines>121</Lines>
  <Paragraphs>34</Paragraphs>
  <ScaleCrop>false</ScaleCrop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2023-07-19T18:23:00Z</dcterms:created>
  <dcterms:modified xsi:type="dcterms:W3CDTF">2023-07-19T18:27:00Z</dcterms:modified>
</cp:coreProperties>
</file>