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5486" w14:textId="11D9C50F" w:rsidR="00BD68E3" w:rsidRPr="00BD68E3" w:rsidRDefault="00BD68E3" w:rsidP="00BD68E3">
      <w:pPr>
        <w:spacing w:after="140"/>
        <w:rPr>
          <w:rFonts w:ascii="Arial" w:hAnsi="Arial" w:cs="Arial"/>
          <w:kern w:val="0"/>
          <w:sz w:val="22"/>
          <w:szCs w:val="22"/>
          <w14:ligatures w14:val="none"/>
        </w:rPr>
      </w:pPr>
      <w:r w:rsidRPr="00BD68E3">
        <w:rPr>
          <w:rFonts w:ascii="Arial" w:hAnsi="Arial" w:cs="Arial"/>
          <w:kern w:val="0"/>
          <w:sz w:val="22"/>
          <w:szCs w:val="22"/>
          <w14:ligatures w14:val="none"/>
        </w:rPr>
        <w:t xml:space="preserve">The animal facilities available at UNC-CH are provided through the Division of Laboratory Animal Medicine (DLAM). The DLAM supports research in animal facilities on and off the UNC-CH campus. Federal and foundation funding sponsors over $60 million in essential animal research on the UNC-CH campus conducted by the Schools of Medicine, Dentistry, Public Health, Pharmacy as well as the Departments of Biology, Chemistry and Psychology. The DLAM supplies daily care to approximately 65,000 animals (98% of which are rodents) in animal facilities totaling 85,000 square feet of space and over 200 animal rooms. Facilities vary from 1,500 to 20,000 net square feet in size, with the majority in the 5,000 to 14,000 net square foot range. As a result of this decentralized approach, most investigators find their animals conveniently located in buildings housing their laboratory space. The animal facility is Association for Assessment and Accreditation of Laboratory Animal Care (AAALAC) approved and under the supervision of John Bradfield, DVM, PhD. Four veterinarians, one post-doctoral veterinarian and four veterinary technicians provide the bulk of the Division’s animal health care services. In addition, over sixty laboratory animal technicians furnish a humane, </w:t>
      </w:r>
      <w:proofErr w:type="gramStart"/>
      <w:r w:rsidRPr="00BD68E3">
        <w:rPr>
          <w:rFonts w:ascii="Arial" w:hAnsi="Arial" w:cs="Arial"/>
          <w:kern w:val="0"/>
          <w:sz w:val="22"/>
          <w:szCs w:val="22"/>
          <w14:ligatures w14:val="none"/>
        </w:rPr>
        <w:t>healthy</w:t>
      </w:r>
      <w:proofErr w:type="gramEnd"/>
      <w:r w:rsidRPr="00BD68E3">
        <w:rPr>
          <w:rFonts w:ascii="Arial" w:hAnsi="Arial" w:cs="Arial"/>
          <w:kern w:val="0"/>
          <w:sz w:val="22"/>
          <w:szCs w:val="22"/>
          <w14:ligatures w14:val="none"/>
        </w:rPr>
        <w:t xml:space="preserve"> and comfortable environment for the animals under their charge, exceeding all prevailing national standards for care. Support facilities are present within UNC-CH including an animal models core, mouse histopathology core, animal clinical chemistry and gene expression facility, metabolic phenotyping core, among others.</w:t>
      </w:r>
    </w:p>
    <w:p w14:paraId="29878F35" w14:textId="701EA86D" w:rsidR="00000000" w:rsidRPr="00BD68E3" w:rsidRDefault="00BD68E3" w:rsidP="00BD68E3">
      <w:pPr>
        <w:spacing w:after="140"/>
        <w:rPr>
          <w:rFonts w:ascii="Arial" w:hAnsi="Arial" w:cs="Arial"/>
          <w:kern w:val="0"/>
          <w:sz w:val="22"/>
          <w:szCs w:val="22"/>
          <w14:ligatures w14:val="none"/>
        </w:rPr>
      </w:pPr>
      <w:r w:rsidRPr="00BD68E3">
        <w:rPr>
          <w:rFonts w:ascii="Arial" w:hAnsi="Arial" w:cs="Arial"/>
          <w:i/>
          <w:iCs/>
          <w:kern w:val="0"/>
          <w:sz w:val="22"/>
          <w:szCs w:val="22"/>
          <w14:ligatures w14:val="none"/>
        </w:rPr>
        <w:t>Updated</w:t>
      </w:r>
      <w:r>
        <w:rPr>
          <w:rFonts w:ascii="Arial" w:hAnsi="Arial" w:cs="Arial"/>
          <w:i/>
          <w:iCs/>
          <w:kern w:val="0"/>
          <w:sz w:val="22"/>
          <w:szCs w:val="22"/>
          <w14:ligatures w14:val="none"/>
        </w:rPr>
        <w:t>:</w:t>
      </w:r>
      <w:r w:rsidRPr="00BD68E3">
        <w:rPr>
          <w:rFonts w:ascii="Arial" w:hAnsi="Arial" w:cs="Arial"/>
          <w:i/>
          <w:iCs/>
          <w:kern w:val="0"/>
          <w:sz w:val="22"/>
          <w:szCs w:val="22"/>
          <w14:ligatures w14:val="none"/>
        </w:rPr>
        <w:t xml:space="preserve"> 11/1/16</w:t>
      </w:r>
    </w:p>
    <w:sectPr w:rsidR="00772CB6" w:rsidRPr="00BD68E3" w:rsidSect="00BD68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E3"/>
    <w:rsid w:val="00060816"/>
    <w:rsid w:val="00122FCB"/>
    <w:rsid w:val="00385C52"/>
    <w:rsid w:val="006A0617"/>
    <w:rsid w:val="00B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328D5"/>
  <w15:chartTrackingRefBased/>
  <w15:docId w15:val="{D35DE9A3-3112-5E4C-872F-371084C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2023-07-19T20:31:00Z</dcterms:created>
  <dcterms:modified xsi:type="dcterms:W3CDTF">2023-07-19T20:32:00Z</dcterms:modified>
</cp:coreProperties>
</file>