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14E3" w14:textId="56EF951D" w:rsidR="006567BD" w:rsidRPr="006567BD" w:rsidRDefault="006567BD" w:rsidP="006567BD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6567BD">
        <w:rPr>
          <w:rFonts w:ascii="Arial" w:hAnsi="Arial" w:cs="Arial"/>
          <w:kern w:val="0"/>
          <w:sz w:val="22"/>
          <w:szCs w:val="22"/>
          <w14:ligatures w14:val="none"/>
        </w:rPr>
        <w:t xml:space="preserve">The Fetal Fibronectin and Rupture of Fetal Membrane (ROM) </w:t>
      </w:r>
      <w:r>
        <w:rPr>
          <w:rFonts w:ascii="Arial" w:hAnsi="Arial" w:cs="Arial"/>
          <w:kern w:val="0"/>
          <w:sz w:val="22"/>
          <w:szCs w:val="22"/>
          <w14:ligatures w14:val="none"/>
        </w:rPr>
        <w:t>t</w:t>
      </w:r>
      <w:r w:rsidRPr="006567BD">
        <w:rPr>
          <w:rFonts w:ascii="Arial" w:hAnsi="Arial" w:cs="Arial"/>
          <w:kern w:val="0"/>
          <w:sz w:val="22"/>
          <w:szCs w:val="22"/>
          <w14:ligatures w14:val="none"/>
        </w:rPr>
        <w:t>esting is performed in the University of North Carolina (UNC) Hospitals McLendon Clinical Laboratory with results available within one hour of receipt of specimen, 7 days a week, 24 hours a day. In the last fiscal year, approximately 150 specimens were tested for either fetal fibronectin or ROM on both inpatients and outpatients. Fetal fibronectin accounted for 33% of total specimens and ROM for 67% of total specimens.</w:t>
      </w:r>
    </w:p>
    <w:p w14:paraId="5F0C168A" w14:textId="577CC6F7" w:rsidR="00000000" w:rsidRPr="006567BD" w:rsidRDefault="006567BD" w:rsidP="006567BD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6567BD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Updated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:</w:t>
      </w:r>
      <w:r w:rsidRPr="006567BD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12/18/16</w:t>
      </w:r>
    </w:p>
    <w:sectPr w:rsidR="00772CB6" w:rsidRPr="006567BD" w:rsidSect="00656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BD"/>
    <w:rsid w:val="00060816"/>
    <w:rsid w:val="00122FCB"/>
    <w:rsid w:val="00385C52"/>
    <w:rsid w:val="006567BD"/>
    <w:rsid w:val="006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8E42E"/>
  <w15:chartTrackingRefBased/>
  <w15:docId w15:val="{44CA2B9E-C92C-6B4F-96AF-7390765F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567B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046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672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0237">
              <w:marLeft w:val="0"/>
              <w:marRight w:val="0"/>
              <w:marTop w:val="0"/>
              <w:marBottom w:val="0"/>
              <w:divBdr>
                <w:top w:val="single" w:sz="6" w:space="11" w:color="E1E1E1"/>
                <w:left w:val="single" w:sz="6" w:space="11" w:color="E1E1E1"/>
                <w:bottom w:val="single" w:sz="6" w:space="11" w:color="E1E1E1"/>
                <w:right w:val="single" w:sz="6" w:space="11" w:color="E1E1E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Michael A.</dc:creator>
  <cp:keywords/>
  <dc:description/>
  <cp:lastModifiedBy>Kerr, Michael A.</cp:lastModifiedBy>
  <cp:revision>1</cp:revision>
  <dcterms:created xsi:type="dcterms:W3CDTF">2023-07-21T20:17:00Z</dcterms:created>
  <dcterms:modified xsi:type="dcterms:W3CDTF">2023-07-21T20:18:00Z</dcterms:modified>
</cp:coreProperties>
</file>