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6B8C2" w14:textId="77777777" w:rsidR="00AD44D6" w:rsidRPr="00AD44D6" w:rsidRDefault="00AD44D6" w:rsidP="00AD44D6">
      <w:pPr>
        <w:spacing w:after="140"/>
        <w:rPr>
          <w:rFonts w:ascii="Arial" w:hAnsi="Arial" w:cs="Arial"/>
          <w:kern w:val="0"/>
          <w:sz w:val="22"/>
          <w:szCs w:val="22"/>
          <w14:ligatures w14:val="none"/>
        </w:rPr>
      </w:pPr>
      <w:r w:rsidRPr="00AD44D6">
        <w:rPr>
          <w:rFonts w:ascii="Arial" w:hAnsi="Arial" w:cs="Arial"/>
          <w:kern w:val="0"/>
          <w:sz w:val="22"/>
          <w:szCs w:val="22"/>
          <w14:ligatures w14:val="none"/>
        </w:rPr>
        <w:t xml:space="preserve">The </w:t>
      </w:r>
      <w:proofErr w:type="spellStart"/>
      <w:r w:rsidRPr="00AD44D6">
        <w:rPr>
          <w:rFonts w:ascii="Arial" w:hAnsi="Arial" w:cs="Arial"/>
          <w:kern w:val="0"/>
          <w:sz w:val="22"/>
          <w:szCs w:val="22"/>
          <w14:ligatures w14:val="none"/>
        </w:rPr>
        <w:t>Gillings</w:t>
      </w:r>
      <w:proofErr w:type="spellEnd"/>
      <w:r w:rsidRPr="00AD44D6">
        <w:rPr>
          <w:rFonts w:ascii="Arial" w:hAnsi="Arial" w:cs="Arial"/>
          <w:kern w:val="0"/>
          <w:sz w:val="22"/>
          <w:szCs w:val="22"/>
          <w14:ligatures w14:val="none"/>
        </w:rPr>
        <w:t xml:space="preserve"> School of Global Public Health (GSGPH) was established in 1940 as the fourth school of public health in the US and the first at a state university. The GSGPH is one of the largest public health schools in the country with 240 full-time faculty, 349 staff members and 2,260 students. Its mission is to improve the health and well-being of the population through research. The </w:t>
      </w:r>
      <w:proofErr w:type="gramStart"/>
      <w:r w:rsidRPr="00AD44D6">
        <w:rPr>
          <w:rFonts w:ascii="Arial" w:hAnsi="Arial" w:cs="Arial"/>
          <w:kern w:val="0"/>
          <w:sz w:val="22"/>
          <w:szCs w:val="22"/>
          <w14:ligatures w14:val="none"/>
        </w:rPr>
        <w:t>School</w:t>
      </w:r>
      <w:proofErr w:type="gramEnd"/>
      <w:r w:rsidRPr="00AD44D6">
        <w:rPr>
          <w:rFonts w:ascii="Arial" w:hAnsi="Arial" w:cs="Arial"/>
          <w:kern w:val="0"/>
          <w:sz w:val="22"/>
          <w:szCs w:val="22"/>
          <w14:ligatures w14:val="none"/>
        </w:rPr>
        <w:t xml:space="preserve"> is consistently ranked among the best schools of public health in the nation and is presently the top School of Public Health in a public university by U.S. News &amp; World Report, and 2nd amongst all public health schools (2022 edition). GSGPH is one of 68 schools and 139 programs of public health accredited by the Council on Education for Public Health. The </w:t>
      </w:r>
      <w:proofErr w:type="gramStart"/>
      <w:r w:rsidRPr="00AD44D6">
        <w:rPr>
          <w:rFonts w:ascii="Arial" w:hAnsi="Arial" w:cs="Arial"/>
          <w:kern w:val="0"/>
          <w:sz w:val="22"/>
          <w:szCs w:val="22"/>
          <w14:ligatures w14:val="none"/>
        </w:rPr>
        <w:t>School’s</w:t>
      </w:r>
      <w:proofErr w:type="gramEnd"/>
      <w:r w:rsidRPr="00AD44D6">
        <w:rPr>
          <w:rFonts w:ascii="Arial" w:hAnsi="Arial" w:cs="Arial"/>
          <w:kern w:val="0"/>
          <w:sz w:val="22"/>
          <w:szCs w:val="22"/>
          <w14:ligatures w14:val="none"/>
        </w:rPr>
        <w:t xml:space="preserve"> faculty are nationally and internationally recognized for their research, publications and public health service. The research activities of the GSGPH are multidisciplinary by nature, as faculty members collaborate with colleagues from throughout the University, especially on the Health Affairs campus and its interdisciplinary research Centers. The </w:t>
      </w:r>
      <w:proofErr w:type="gramStart"/>
      <w:r w:rsidRPr="00AD44D6">
        <w:rPr>
          <w:rFonts w:ascii="Arial" w:hAnsi="Arial" w:cs="Arial"/>
          <w:kern w:val="0"/>
          <w:sz w:val="22"/>
          <w:szCs w:val="22"/>
          <w14:ligatures w14:val="none"/>
        </w:rPr>
        <w:t>School</w:t>
      </w:r>
      <w:proofErr w:type="gramEnd"/>
      <w:r w:rsidRPr="00AD44D6">
        <w:rPr>
          <w:rFonts w:ascii="Arial" w:hAnsi="Arial" w:cs="Arial"/>
          <w:kern w:val="0"/>
          <w:sz w:val="22"/>
          <w:szCs w:val="22"/>
          <w14:ligatures w14:val="none"/>
        </w:rPr>
        <w:t xml:space="preserve"> is recognized nationally as a potent force renowned for its scholarly contributions to the health sciences, its rigorous educational programs, and its public service activities aimed at improving population health. We are the number one public school of public health for NIH funding, with $213.2 million awarded in research grants and contracts in FY 2020-2021. The </w:t>
      </w:r>
      <w:proofErr w:type="gramStart"/>
      <w:r w:rsidRPr="00AD44D6">
        <w:rPr>
          <w:rFonts w:ascii="Arial" w:hAnsi="Arial" w:cs="Arial"/>
          <w:kern w:val="0"/>
          <w:sz w:val="22"/>
          <w:szCs w:val="22"/>
          <w14:ligatures w14:val="none"/>
        </w:rPr>
        <w:t>School</w:t>
      </w:r>
      <w:proofErr w:type="gramEnd"/>
      <w:r w:rsidRPr="00AD44D6">
        <w:rPr>
          <w:rFonts w:ascii="Arial" w:hAnsi="Arial" w:cs="Arial"/>
          <w:kern w:val="0"/>
          <w:sz w:val="22"/>
          <w:szCs w:val="22"/>
          <w14:ligatures w14:val="none"/>
        </w:rPr>
        <w:t xml:space="preserve"> includes Departments in Biostatistics, Environmental Sciences and Engineering, Epidemiology, Health Behavior, Health Policy and Management, Maternal and Child Health, Nutrition, and the Public Health Leadership Program. </w:t>
      </w:r>
    </w:p>
    <w:p w14:paraId="3194BC20" w14:textId="77777777" w:rsidR="00AD44D6" w:rsidRPr="00AD44D6" w:rsidRDefault="00AD44D6" w:rsidP="00AD44D6">
      <w:pPr>
        <w:spacing w:after="140"/>
        <w:rPr>
          <w:rFonts w:ascii="Arial" w:hAnsi="Arial" w:cs="Arial"/>
          <w:kern w:val="0"/>
          <w:sz w:val="22"/>
          <w:szCs w:val="22"/>
          <w14:ligatures w14:val="none"/>
        </w:rPr>
      </w:pPr>
      <w:r w:rsidRPr="00AD44D6">
        <w:rPr>
          <w:rFonts w:ascii="Arial" w:hAnsi="Arial" w:cs="Arial"/>
          <w:kern w:val="0"/>
          <w:sz w:val="22"/>
          <w:szCs w:val="22"/>
          <w14:ligatures w14:val="none"/>
        </w:rPr>
        <w:t xml:space="preserve">The </w:t>
      </w:r>
      <w:proofErr w:type="gramStart"/>
      <w:r w:rsidRPr="00AD44D6">
        <w:rPr>
          <w:rFonts w:ascii="Arial" w:hAnsi="Arial" w:cs="Arial"/>
          <w:kern w:val="0"/>
          <w:sz w:val="22"/>
          <w:szCs w:val="22"/>
          <w14:ligatures w14:val="none"/>
        </w:rPr>
        <w:t>School</w:t>
      </w:r>
      <w:proofErr w:type="gramEnd"/>
      <w:r w:rsidRPr="00AD44D6">
        <w:rPr>
          <w:rFonts w:ascii="Arial" w:hAnsi="Arial" w:cs="Arial"/>
          <w:kern w:val="0"/>
          <w:sz w:val="22"/>
          <w:szCs w:val="22"/>
          <w14:ligatures w14:val="none"/>
        </w:rPr>
        <w:t xml:space="preserve"> sponsors more than 20 specialized centers and institutes focused on critical areas of public health. Faculty at the </w:t>
      </w:r>
      <w:proofErr w:type="spellStart"/>
      <w:r w:rsidRPr="00AD44D6">
        <w:rPr>
          <w:rFonts w:ascii="Arial" w:hAnsi="Arial" w:cs="Arial"/>
          <w:kern w:val="0"/>
          <w:sz w:val="22"/>
          <w:szCs w:val="22"/>
          <w14:ligatures w14:val="none"/>
        </w:rPr>
        <w:t>Gillings</w:t>
      </w:r>
      <w:proofErr w:type="spellEnd"/>
      <w:r w:rsidRPr="00AD44D6">
        <w:rPr>
          <w:rFonts w:ascii="Arial" w:hAnsi="Arial" w:cs="Arial"/>
          <w:kern w:val="0"/>
          <w:sz w:val="22"/>
          <w:szCs w:val="22"/>
          <w14:ligatures w14:val="none"/>
        </w:rPr>
        <w:t xml:space="preserve"> School conduct research in all 100 counties in North Carolina, across the United States, and in more than 60 countries spanning 6 continents on topics including clean drinking water and sanitation; air quality and toxicity; infectious diseases including HIV/AIDS, malaria and tuberculosis; chronic disease prevention including cancers, obesity, diabetes, heart disease and stroke; nutrition and physical activity; minority health and health disparities; health systems and services; injury and violence prevention; and public health practice and leadership. Global health is local health, and so our broad research portfolio generates discoveries that help North Carolinians as well as people around the world. </w:t>
      </w:r>
    </w:p>
    <w:p w14:paraId="48D4D253" w14:textId="598F7EEF" w:rsidR="007F2490" w:rsidRPr="00A938F7" w:rsidRDefault="00A938F7" w:rsidP="00A938F7">
      <w:pPr>
        <w:spacing w:after="140"/>
        <w:rPr>
          <w:rFonts w:ascii="Arial" w:hAnsi="Arial" w:cs="Arial"/>
          <w:kern w:val="0"/>
          <w:sz w:val="22"/>
          <w:szCs w:val="22"/>
          <w14:ligatures w14:val="none"/>
        </w:rPr>
      </w:pPr>
      <w:r w:rsidRPr="00A938F7">
        <w:rPr>
          <w:rFonts w:ascii="Arial" w:hAnsi="Arial" w:cs="Arial"/>
          <w:i/>
          <w:iCs/>
          <w:kern w:val="0"/>
          <w:sz w:val="22"/>
          <w:szCs w:val="22"/>
          <w14:ligatures w14:val="none"/>
        </w:rPr>
        <w:t>Updated</w:t>
      </w:r>
      <w:r>
        <w:rPr>
          <w:rFonts w:ascii="Arial" w:hAnsi="Arial" w:cs="Arial"/>
          <w:i/>
          <w:iCs/>
          <w:kern w:val="0"/>
          <w:sz w:val="22"/>
          <w:szCs w:val="22"/>
          <w14:ligatures w14:val="none"/>
        </w:rPr>
        <w:t>:</w:t>
      </w:r>
      <w:r w:rsidRPr="00A938F7">
        <w:rPr>
          <w:rFonts w:ascii="Arial" w:hAnsi="Arial" w:cs="Arial"/>
          <w:i/>
          <w:iCs/>
          <w:kern w:val="0"/>
          <w:sz w:val="22"/>
          <w:szCs w:val="22"/>
          <w14:ligatures w14:val="none"/>
        </w:rPr>
        <w:t xml:space="preserve"> </w:t>
      </w:r>
      <w:r w:rsidR="00AD44D6">
        <w:rPr>
          <w:rFonts w:ascii="Arial" w:hAnsi="Arial" w:cs="Arial"/>
          <w:i/>
          <w:iCs/>
          <w:kern w:val="0"/>
          <w:sz w:val="22"/>
          <w:szCs w:val="22"/>
          <w14:ligatures w14:val="none"/>
        </w:rPr>
        <w:t>9/20/22</w:t>
      </w:r>
    </w:p>
    <w:sectPr w:rsidR="007F2490" w:rsidRPr="00A938F7" w:rsidSect="00A938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F7"/>
    <w:rsid w:val="00060816"/>
    <w:rsid w:val="00122FCB"/>
    <w:rsid w:val="00385C52"/>
    <w:rsid w:val="006A0617"/>
    <w:rsid w:val="007F2490"/>
    <w:rsid w:val="00A938F7"/>
    <w:rsid w:val="00AD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CB88"/>
  <w15:chartTrackingRefBased/>
  <w15:docId w15:val="{74E881E2-6C54-F04A-AC75-64DF1C94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2</cp:revision>
  <dcterms:created xsi:type="dcterms:W3CDTF">2023-07-24T20:20:00Z</dcterms:created>
  <dcterms:modified xsi:type="dcterms:W3CDTF">2023-07-31T21:50:00Z</dcterms:modified>
</cp:coreProperties>
</file>