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78CF" w14:textId="77777777" w:rsidR="00F26432" w:rsidRPr="00F26432" w:rsidRDefault="00F26432" w:rsidP="00F26432">
      <w:pPr>
        <w:spacing w:after="140"/>
        <w:rPr>
          <w:rFonts w:ascii="Arial" w:hAnsi="Arial" w:cs="Arial"/>
          <w:kern w:val="0"/>
          <w:sz w:val="22"/>
          <w:szCs w:val="22"/>
          <w14:ligatures w14:val="none"/>
        </w:rPr>
      </w:pPr>
      <w:r w:rsidRPr="00F26432">
        <w:rPr>
          <w:rFonts w:ascii="Arial" w:hAnsi="Arial" w:cs="Arial"/>
          <w:kern w:val="0"/>
          <w:sz w:val="22"/>
          <w:szCs w:val="22"/>
          <w14:ligatures w14:val="none"/>
        </w:rPr>
        <w:t>In 2013, UNC-supported activities in the Division of AIDS HIV/AIDS Clinical Trials Networks were combined under the umbrella of a single global unit, the UNC Global Clinical Trials Unit (CTU). The CTU is housed in the UNC Institute for Global Health &amp; Infectious Diseases. In 2014, UNC received 7 years of funding and more than $40 million from NIH for global clinical trials unit to treat and prevent HIV. With active clinical research sites in North Carolina, South Africa, Vietnam, Zambia, and Malawi, this unit is now among the most successful in world, with open protocols from five networks: the Adult AIDS Clinical Trials Group (ACTG), the International Maternal Pediatric Adolescent AIDS Clinical Trials Group (IMPAACT), the HIV Prevention Trials Network (HPTN), the Microbicide Trials Network (MTN), and the HIV Vaccine Trials Network (HVTN). UNC faculty members serve in numerous leadership roles in these networks, including as network co-PI and scientific committee chairs. The unit provides opportunities for young investigators to participate and join network committees and study teams and has a sophisticated infrastructure to support research that is often made available to mentees (sharing of standard operating procedures, case report forms, recruitment material development, etc.).</w:t>
      </w:r>
    </w:p>
    <w:p w14:paraId="63D1995F" w14:textId="28DE30F5" w:rsidR="00000000" w:rsidRPr="00F26432" w:rsidRDefault="00F26432" w:rsidP="00F26432">
      <w:pPr>
        <w:spacing w:after="140"/>
        <w:rPr>
          <w:rFonts w:ascii="Arial" w:hAnsi="Arial" w:cs="Arial"/>
          <w:kern w:val="0"/>
          <w:sz w:val="22"/>
          <w:szCs w:val="22"/>
          <w14:ligatures w14:val="none"/>
        </w:rPr>
      </w:pPr>
      <w:r w:rsidRPr="00F26432">
        <w:rPr>
          <w:rFonts w:ascii="Arial" w:hAnsi="Arial" w:cs="Arial"/>
          <w:i/>
          <w:iCs/>
          <w:kern w:val="0"/>
          <w:sz w:val="22"/>
          <w:szCs w:val="22"/>
          <w14:ligatures w14:val="none"/>
        </w:rPr>
        <w:t>Updated</w:t>
      </w:r>
      <w:r>
        <w:rPr>
          <w:rFonts w:ascii="Arial" w:hAnsi="Arial" w:cs="Arial"/>
          <w:i/>
          <w:iCs/>
          <w:kern w:val="0"/>
          <w:sz w:val="22"/>
          <w:szCs w:val="22"/>
          <w14:ligatures w14:val="none"/>
        </w:rPr>
        <w:t>:</w:t>
      </w:r>
      <w:r w:rsidRPr="00F26432">
        <w:rPr>
          <w:rFonts w:ascii="Arial" w:hAnsi="Arial" w:cs="Arial"/>
          <w:i/>
          <w:iCs/>
          <w:kern w:val="0"/>
          <w:sz w:val="22"/>
          <w:szCs w:val="22"/>
          <w14:ligatures w14:val="none"/>
        </w:rPr>
        <w:t xml:space="preserve"> 10/13/16</w:t>
      </w:r>
    </w:p>
    <w:sectPr w:rsidR="00772CB6" w:rsidRPr="00F26432" w:rsidSect="00F26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32"/>
    <w:rsid w:val="00060816"/>
    <w:rsid w:val="00122FCB"/>
    <w:rsid w:val="00385C52"/>
    <w:rsid w:val="006A0617"/>
    <w:rsid w:val="00F2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2FD84"/>
  <w15:chartTrackingRefBased/>
  <w15:docId w15:val="{063F8BF8-6B70-9D4A-937F-5332A49A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2023-07-24T20:39:00Z</dcterms:created>
  <dcterms:modified xsi:type="dcterms:W3CDTF">2023-07-24T20:39:00Z</dcterms:modified>
</cp:coreProperties>
</file>