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FDB0" w14:textId="36BF551A" w:rsidR="00000000" w:rsidRPr="00992627" w:rsidRDefault="00992627" w:rsidP="0099262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92627">
        <w:rPr>
          <w:rFonts w:ascii="Arial" w:hAnsi="Arial" w:cs="Arial"/>
          <w:kern w:val="0"/>
          <w:sz w:val="22"/>
          <w:szCs w:val="22"/>
          <w14:ligatures w14:val="none"/>
        </w:rPr>
        <w:t xml:space="preserve">The McLendon Clinical Laboratories, under the direction of Herbert C. </w:t>
      </w:r>
      <w:proofErr w:type="spellStart"/>
      <w:r w:rsidRPr="00992627">
        <w:rPr>
          <w:rFonts w:ascii="Arial" w:hAnsi="Arial" w:cs="Arial"/>
          <w:kern w:val="0"/>
          <w:sz w:val="22"/>
          <w:szCs w:val="22"/>
          <w14:ligatures w14:val="none"/>
        </w:rPr>
        <w:t>Whinna</w:t>
      </w:r>
      <w:proofErr w:type="spellEnd"/>
      <w:r w:rsidRPr="00992627">
        <w:rPr>
          <w:rFonts w:ascii="Arial" w:hAnsi="Arial" w:cs="Arial"/>
          <w:kern w:val="0"/>
          <w:sz w:val="22"/>
          <w:szCs w:val="22"/>
          <w14:ligatures w14:val="none"/>
        </w:rPr>
        <w:t xml:space="preserve">, MD, PhD, Associate Professor in the Department of Pathology and Laboratory Medicine, is a full service clinical laboratory and is accredited by the College of American Pathologists (#13992-01 for Hospital Labs, 13992-02 Family Practice Lab, and #13992-15 for Point of Care Testing) and Health Care Finance Administration (CLIA Certification #34D0655124 for hospital labs and #34D0708545 for point of care testing). In addition, the Transfusion Medicine Service and the Histocompatibility/Tissue Typing (HLA) Laboratory are accredited by the American Association of Blood Banks and the HLA Laboratory is accredited by the American Society for Histocompatibility and Immunogenetics. The Laboratory </w:t>
      </w:r>
      <w:proofErr w:type="gramStart"/>
      <w:r w:rsidRPr="00992627">
        <w:rPr>
          <w:rFonts w:ascii="Arial" w:hAnsi="Arial" w:cs="Arial"/>
          <w:kern w:val="0"/>
          <w:sz w:val="22"/>
          <w:szCs w:val="22"/>
          <w14:ligatures w14:val="none"/>
        </w:rPr>
        <w:t>is capable of providing</w:t>
      </w:r>
      <w:proofErr w:type="gramEnd"/>
      <w:r w:rsidRPr="00992627">
        <w:rPr>
          <w:rFonts w:ascii="Arial" w:hAnsi="Arial" w:cs="Arial"/>
          <w:kern w:val="0"/>
          <w:sz w:val="22"/>
          <w:szCs w:val="22"/>
          <w14:ligatures w14:val="none"/>
        </w:rPr>
        <w:t xml:space="preserve"> chemistry, blood gases, hematology, microbiology, toxicology, blood bank and molecular testing on blood and other body fluids on a STAT and routine basis. Much of the testing is available 24/7 in support of inpatients, </w:t>
      </w:r>
      <w:proofErr w:type="gramStart"/>
      <w:r w:rsidRPr="00992627">
        <w:rPr>
          <w:rFonts w:ascii="Arial" w:hAnsi="Arial" w:cs="Arial"/>
          <w:kern w:val="0"/>
          <w:sz w:val="22"/>
          <w:szCs w:val="22"/>
          <w14:ligatures w14:val="none"/>
        </w:rPr>
        <w:t>outpatients</w:t>
      </w:r>
      <w:proofErr w:type="gramEnd"/>
      <w:r w:rsidRPr="00992627">
        <w:rPr>
          <w:rFonts w:ascii="Arial" w:hAnsi="Arial" w:cs="Arial"/>
          <w:kern w:val="0"/>
          <w:sz w:val="22"/>
          <w:szCs w:val="22"/>
          <w14:ligatures w14:val="none"/>
        </w:rPr>
        <w:t xml:space="preserve"> and the emergency department at UNC Hospitals.</w:t>
      </w:r>
    </w:p>
    <w:sectPr w:rsidR="00772CB6" w:rsidRPr="00992627" w:rsidSect="00992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27"/>
    <w:rsid w:val="00060816"/>
    <w:rsid w:val="00122FCB"/>
    <w:rsid w:val="00385C52"/>
    <w:rsid w:val="006A0617"/>
    <w:rsid w:val="009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0ED69"/>
  <w15:chartTrackingRefBased/>
  <w15:docId w15:val="{BE871078-9C4A-7C45-9D72-A01AA47C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2023-07-21T20:23:00Z</dcterms:created>
  <dcterms:modified xsi:type="dcterms:W3CDTF">2023-07-21T20:24:00Z</dcterms:modified>
</cp:coreProperties>
</file>